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auto"/>
        <w:jc w:val="center"/>
        <w:rPr>
          <w:rStyle w:val="8"/>
          <w:rFonts w:hint="eastAsia" w:ascii="仿宋_GB2312" w:hAnsi="仿宋_GB2312" w:eastAsia="仿宋_GB2312" w:cs="仿宋_GB2312"/>
          <w:b/>
          <w:bCs/>
          <w:color w:val="auto"/>
          <w:sz w:val="32"/>
          <w:szCs w:val="32"/>
          <w:highlight w:val="none"/>
          <w:lang w:val="en-US" w:eastAsia="zh-CN" w:bidi="ar-SA"/>
        </w:rPr>
      </w:pPr>
      <w:bookmarkStart w:id="0" w:name="_Toc31608_WPSOffice_Level2"/>
      <w:bookmarkStart w:id="1" w:name="EBf9d202c197d7435c911d20d816da9fd7"/>
      <w:bookmarkStart w:id="2" w:name="_Toc25187"/>
      <w:bookmarkStart w:id="3" w:name="_Toc19319"/>
      <w:bookmarkStart w:id="4" w:name="_Toc16116"/>
      <w:bookmarkStart w:id="5" w:name="_Toc28402"/>
      <w:bookmarkStart w:id="6" w:name="_Toc6649"/>
      <w:bookmarkStart w:id="7" w:name="_Toc1655"/>
      <w:bookmarkStart w:id="8" w:name="_Toc13283"/>
      <w:bookmarkStart w:id="9" w:name="_Toc6806"/>
      <w:r>
        <w:rPr>
          <w:rStyle w:val="8"/>
          <w:rFonts w:hint="eastAsia" w:ascii="仿宋_GB2312" w:hAnsi="仿宋_GB2312" w:eastAsia="仿宋_GB2312" w:cs="仿宋_GB2312"/>
          <w:b/>
          <w:bCs/>
          <w:color w:val="auto"/>
          <w:sz w:val="32"/>
          <w:szCs w:val="32"/>
          <w:highlight w:val="none"/>
          <w:lang w:val="en-US" w:eastAsia="zh-CN" w:bidi="ar-SA"/>
        </w:rPr>
        <w:t>用户需求</w:t>
      </w:r>
      <w:bookmarkEnd w:id="0"/>
    </w:p>
    <w:bookmarkEnd w:id="1"/>
    <w:bookmarkEnd w:id="2"/>
    <w:bookmarkEnd w:id="3"/>
    <w:bookmarkEnd w:id="4"/>
    <w:bookmarkEnd w:id="5"/>
    <w:bookmarkEnd w:id="6"/>
    <w:bookmarkEnd w:id="7"/>
    <w:bookmarkEnd w:id="8"/>
    <w:bookmarkEnd w:id="9"/>
    <w:p>
      <w:pPr>
        <w:pStyle w:val="4"/>
        <w:keepNext/>
        <w:keepLines/>
        <w:pageBreakBefore w:val="0"/>
        <w:widowControl w:val="0"/>
        <w:shd w:val="clear" w:color="auto" w:fill="auto"/>
        <w:kinsoku/>
        <w:wordWrap/>
        <w:overflowPunct/>
        <w:topLinePunct w:val="0"/>
        <w:autoSpaceDE/>
        <w:autoSpaceDN/>
        <w:bidi w:val="0"/>
        <w:adjustRightInd/>
        <w:snapToGrid/>
        <w:spacing w:before="0" w:after="0" w:line="360" w:lineRule="auto"/>
        <w:jc w:val="both"/>
        <w:textAlignment w:val="auto"/>
        <w:rPr>
          <w:rFonts w:hint="eastAsia" w:ascii="仿宋_GB2312" w:hAnsi="仿宋_GB2312" w:eastAsia="仿宋_GB2312" w:cs="仿宋_GB2312"/>
          <w:b/>
          <w:bCs/>
          <w:color w:val="auto"/>
          <w:sz w:val="21"/>
          <w:szCs w:val="21"/>
          <w:highlight w:val="none"/>
        </w:rPr>
      </w:pPr>
      <w:bookmarkStart w:id="10" w:name="_Toc9576"/>
      <w:bookmarkStart w:id="11" w:name="_Toc27901"/>
      <w:bookmarkStart w:id="12" w:name="_Toc14202"/>
      <w:bookmarkStart w:id="13" w:name="_Toc12638"/>
      <w:bookmarkStart w:id="14" w:name="_Toc24529"/>
      <w:r>
        <w:rPr>
          <w:rFonts w:hint="eastAsia" w:ascii="仿宋_GB2312" w:hAnsi="仿宋_GB2312" w:eastAsia="仿宋_GB2312" w:cs="仿宋_GB2312"/>
          <w:b/>
          <w:bCs/>
          <w:color w:val="auto"/>
          <w:sz w:val="21"/>
          <w:szCs w:val="21"/>
          <w:highlight w:val="none"/>
        </w:rPr>
        <w:t>说明：1.投标人须对本项目为单位的货物及服务进行整体投标，任何只对其中一部分内容进行的投标都被视为无效投标。</w:t>
      </w:r>
      <w:bookmarkEnd w:id="10"/>
      <w:bookmarkEnd w:id="11"/>
      <w:bookmarkEnd w:id="12"/>
    </w:p>
    <w:bookmarkEnd w:id="13"/>
    <w:bookmarkEnd w:id="14"/>
    <w:p>
      <w:pPr>
        <w:pStyle w:val="4"/>
        <w:keepNext/>
        <w:keepLines/>
        <w:pageBreakBefore w:val="0"/>
        <w:widowControl w:val="0"/>
        <w:numPr>
          <w:ilvl w:val="0"/>
          <w:numId w:val="1"/>
        </w:numPr>
        <w:shd w:val="clear" w:color="auto" w:fill="auto"/>
        <w:kinsoku/>
        <w:wordWrap/>
        <w:overflowPunct/>
        <w:topLinePunct w:val="0"/>
        <w:autoSpaceDE/>
        <w:autoSpaceDN/>
        <w:bidi w:val="0"/>
        <w:adjustRightInd/>
        <w:snapToGrid/>
        <w:spacing w:before="0" w:after="0" w:line="360" w:lineRule="auto"/>
        <w:ind w:leftChars="0"/>
        <w:jc w:val="both"/>
        <w:textAlignment w:val="auto"/>
        <w:rPr>
          <w:rFonts w:hint="eastAsia" w:ascii="仿宋_GB2312" w:hAnsi="仿宋_GB2312" w:eastAsia="仿宋_GB2312" w:cs="仿宋_GB2312"/>
          <w:b/>
          <w:bCs/>
          <w:color w:val="auto"/>
          <w:sz w:val="21"/>
          <w:szCs w:val="21"/>
          <w:highlight w:val="none"/>
        </w:rPr>
      </w:pPr>
      <w:bookmarkStart w:id="15" w:name="bookmark32"/>
      <w:bookmarkStart w:id="16" w:name="_Toc199735936"/>
      <w:bookmarkStart w:id="17" w:name="_Toc176844901"/>
      <w:bookmarkStart w:id="18" w:name="_Toc199736020"/>
      <w:bookmarkStart w:id="19" w:name="_Toc24764"/>
      <w:bookmarkStart w:id="20" w:name="bookmark31"/>
      <w:bookmarkStart w:id="21" w:name="_Toc199815449"/>
      <w:bookmarkStart w:id="22" w:name="_Toc199736966"/>
      <w:bookmarkStart w:id="23" w:name="_Toc401232244"/>
      <w:bookmarkStart w:id="24" w:name="EB96da972056de4385935c5eeed9aedf73"/>
      <w:bookmarkStart w:id="25" w:name="_Toc478463959"/>
      <w:bookmarkStart w:id="26" w:name="_Toc25680"/>
      <w:bookmarkStart w:id="27" w:name="_Toc411005319"/>
      <w:bookmarkStart w:id="28" w:name="_Toc395083537"/>
      <w:bookmarkStart w:id="29" w:name="bookmark30"/>
      <w:r>
        <w:rPr>
          <w:rFonts w:hint="eastAsia" w:ascii="仿宋_GB2312" w:hAnsi="仿宋_GB2312" w:eastAsia="仿宋_GB2312" w:cs="仿宋_GB2312"/>
          <w:b/>
          <w:bCs/>
          <w:color w:val="auto"/>
          <w:sz w:val="21"/>
          <w:szCs w:val="21"/>
          <w:highlight w:val="none"/>
        </w:rPr>
        <w:t>带“★”标记为废标参数，任何偏差将导致废标；“▲”为评分重要技术指标参数，不做投标无效处理，满足或优于得分。如有虚假响应，将导致废标，移送监管部门查处。</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Pr>
        <w:widowControl/>
        <w:adjustRightInd w:val="0"/>
        <w:snapToGrid w:val="0"/>
        <w:spacing w:line="360" w:lineRule="auto"/>
        <w:ind w:left="-2" w:firstLine="422"/>
        <w:jc w:val="left"/>
        <w:rPr>
          <w:rFonts w:hint="eastAsia" w:ascii="仿宋_GB2312" w:hAnsi="仿宋_GB2312" w:eastAsia="仿宋_GB2312" w:cs="仿宋_GB2312"/>
          <w:b/>
          <w:sz w:val="24"/>
        </w:rPr>
      </w:pPr>
      <w:r>
        <w:rPr>
          <w:rFonts w:hint="eastAsia" w:ascii="仿宋_GB2312" w:hAnsi="仿宋_GB2312" w:eastAsia="仿宋_GB2312" w:cs="仿宋_GB2312"/>
          <w:b/>
          <w:sz w:val="24"/>
        </w:rPr>
        <w:t>一、项目概况</w:t>
      </w:r>
    </w:p>
    <w:p>
      <w:pPr>
        <w:spacing w:line="360" w:lineRule="auto"/>
        <w:ind w:firstLine="480" w:firstLineChars="200"/>
        <w:rPr>
          <w:rFonts w:hint="eastAsia" w:ascii="仿宋_GB2312" w:hAnsi="仿宋_GB2312" w:eastAsia="仿宋_GB2312" w:cs="仿宋_GB2312"/>
          <w:spacing w:val="2"/>
          <w:sz w:val="24"/>
        </w:rPr>
      </w:pPr>
      <w:r>
        <w:rPr>
          <w:rFonts w:hint="eastAsia" w:ascii="仿宋_GB2312" w:hAnsi="仿宋_GB2312" w:eastAsia="仿宋_GB2312" w:cs="仿宋_GB2312"/>
          <w:sz w:val="24"/>
        </w:rPr>
        <w:t>根据《中共中央国务院关于深入打好污染防治攻坚战的意见》、《广东省大气污染防治条例》、《广州市机动车排气污染防治规定》、《广州市生态环境局 广州市公安局关于印发2025年度机动车排气道路抽检工作方案的通知》等文件要求，需开展机动车</w:t>
      </w:r>
      <w:r>
        <w:rPr>
          <w:rFonts w:hint="eastAsia" w:ascii="仿宋_GB2312" w:hAnsi="仿宋_GB2312" w:eastAsia="仿宋_GB2312" w:cs="仿宋_GB2312"/>
          <w:sz w:val="24"/>
          <w:lang w:val="en-US" w:eastAsia="zh-CN"/>
        </w:rPr>
        <w:t>尾气监测不达标车辆复检</w:t>
      </w:r>
      <w:r>
        <w:rPr>
          <w:rFonts w:hint="eastAsia" w:ascii="仿宋_GB2312" w:hAnsi="仿宋_GB2312" w:eastAsia="仿宋_GB2312" w:cs="仿宋_GB2312"/>
          <w:sz w:val="24"/>
        </w:rPr>
        <w:t>工作。现采购人通过向社会公开采购的形式，选择一家优质的单位为本项目提供服务，本项目属于服务类招标。项目一览表：</w:t>
      </w:r>
    </w:p>
    <w:tbl>
      <w:tblPr>
        <w:tblStyle w:val="6"/>
        <w:tblW w:w="8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056"/>
        <w:gridCol w:w="1990"/>
        <w:gridCol w:w="165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4"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056" w:type="dxa"/>
            <w:noWrap w:val="0"/>
            <w:vAlign w:val="center"/>
          </w:tcPr>
          <w:p>
            <w:pPr>
              <w:spacing w:line="360" w:lineRule="auto"/>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rPr>
              <w:t>项目</w:t>
            </w:r>
            <w:r>
              <w:rPr>
                <w:rFonts w:hint="eastAsia" w:ascii="仿宋_GB2312" w:hAnsi="仿宋_GB2312" w:eastAsia="仿宋_GB2312" w:cs="仿宋_GB2312"/>
                <w:b/>
                <w:bCs/>
                <w:sz w:val="24"/>
                <w:lang w:val="en-US" w:eastAsia="zh-CN"/>
              </w:rPr>
              <w:t>名称</w:t>
            </w:r>
          </w:p>
        </w:tc>
        <w:tc>
          <w:tcPr>
            <w:tcW w:w="1990"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交货或服务期</w:t>
            </w:r>
          </w:p>
        </w:tc>
        <w:tc>
          <w:tcPr>
            <w:tcW w:w="1650" w:type="dxa"/>
            <w:noWrap w:val="0"/>
            <w:vAlign w:val="center"/>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项目实施地</w:t>
            </w:r>
          </w:p>
        </w:tc>
        <w:tc>
          <w:tcPr>
            <w:tcW w:w="1905" w:type="dxa"/>
            <w:noWrap w:val="0"/>
            <w:vAlign w:val="center"/>
          </w:tcPr>
          <w:p>
            <w:pPr>
              <w:spacing w:line="36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84" w:type="dxa"/>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056" w:type="dxa"/>
            <w:noWrap w:val="0"/>
            <w:vAlign w:val="center"/>
          </w:tcPr>
          <w:p>
            <w:pPr>
              <w:spacing w:line="360" w:lineRule="auto"/>
              <w:ind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z w:val="24"/>
                <w:szCs w:val="22"/>
                <w:lang w:val="en-US" w:eastAsia="zh-CN"/>
              </w:rPr>
              <w:t>从化区机动车尾气监测不达标车辆复检</w:t>
            </w:r>
            <w:r>
              <w:rPr>
                <w:rFonts w:hint="eastAsia" w:ascii="仿宋_GB2312" w:hAnsi="仿宋_GB2312" w:eastAsia="仿宋_GB2312" w:cs="仿宋_GB2312"/>
                <w:sz w:val="24"/>
                <w:szCs w:val="22"/>
              </w:rPr>
              <w:t>项目</w:t>
            </w:r>
          </w:p>
        </w:tc>
        <w:tc>
          <w:tcPr>
            <w:tcW w:w="1990" w:type="dxa"/>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自签订合同之日起至2026年</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日</w:t>
            </w:r>
          </w:p>
        </w:tc>
        <w:tc>
          <w:tcPr>
            <w:tcW w:w="1650" w:type="dxa"/>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采购人指定地点</w:t>
            </w:r>
          </w:p>
        </w:tc>
        <w:tc>
          <w:tcPr>
            <w:tcW w:w="1905" w:type="dxa"/>
            <w:noWrap w:val="0"/>
            <w:vAlign w:val="center"/>
          </w:tcPr>
          <w:p>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2.5</w:t>
            </w:r>
            <w:r>
              <w:rPr>
                <w:rFonts w:hint="eastAsia" w:ascii="仿宋_GB2312" w:hAnsi="仿宋_GB2312" w:eastAsia="仿宋_GB2312" w:cs="仿宋_GB2312"/>
                <w:sz w:val="24"/>
              </w:rPr>
              <w:t>万元</w:t>
            </w:r>
          </w:p>
        </w:tc>
      </w:tr>
    </w:tbl>
    <w:p>
      <w:pPr>
        <w:adjustRightInd w:val="0"/>
        <w:snapToGrid w:val="0"/>
        <w:spacing w:line="360" w:lineRule="auto"/>
        <w:ind w:firstLine="480" w:firstLineChars="200"/>
        <w:jc w:val="left"/>
        <w:rPr>
          <w:rFonts w:hint="eastAsia" w:ascii="仿宋_GB2312" w:hAnsi="仿宋_GB2312" w:eastAsia="仿宋_GB2312" w:cs="仿宋_GB2312"/>
          <w:b/>
          <w:sz w:val="24"/>
        </w:rPr>
      </w:pPr>
      <w:bookmarkStart w:id="30" w:name="_Toc23207"/>
      <w:bookmarkStart w:id="31" w:name="_Toc15069"/>
      <w:bookmarkStart w:id="32" w:name="_Toc19824"/>
      <w:r>
        <w:rPr>
          <w:rFonts w:hint="eastAsia" w:ascii="仿宋_GB2312" w:hAnsi="仿宋_GB2312" w:eastAsia="仿宋_GB2312" w:cs="仿宋_GB2312"/>
          <w:sz w:val="24"/>
        </w:rPr>
        <w:t xml:space="preserve"> 注：投标人必须对整体内容进行投标，只对部分内容进行投标的将被视为无效投标，投标价格超过采购预算最高限价的也将视为无效投标。</w:t>
      </w:r>
    </w:p>
    <w:p>
      <w:pPr>
        <w:widowControl/>
        <w:adjustRightInd w:val="0"/>
        <w:snapToGrid w:val="0"/>
        <w:spacing w:line="360" w:lineRule="auto"/>
        <w:ind w:left="-2" w:firstLine="422"/>
        <w:jc w:val="left"/>
        <w:rPr>
          <w:rFonts w:hint="eastAsia" w:ascii="仿宋_GB2312" w:hAnsi="仿宋_GB2312" w:eastAsia="仿宋_GB2312" w:cs="仿宋_GB2312"/>
          <w:b/>
          <w:sz w:val="24"/>
        </w:rPr>
      </w:pPr>
      <w:r>
        <w:rPr>
          <w:rFonts w:hint="eastAsia" w:ascii="仿宋_GB2312" w:hAnsi="仿宋_GB2312" w:eastAsia="仿宋_GB2312" w:cs="仿宋_GB2312"/>
          <w:b/>
          <w:sz w:val="24"/>
        </w:rPr>
        <w:t>二、项目主要内容</w:t>
      </w:r>
    </w:p>
    <w:bookmarkEnd w:id="30"/>
    <w:bookmarkEnd w:id="31"/>
    <w:bookmarkEnd w:id="32"/>
    <w:p>
      <w:p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在从化区辖区内负责从化区柴油货车尾气排放道路抽检不达标车辆复检服务，每周开展不少于1天（除法定节假日），并每月向甲方报送数据和报告。</w:t>
      </w:r>
    </w:p>
    <w:p>
      <w:pPr>
        <w:widowControl/>
        <w:adjustRightInd w:val="0"/>
        <w:snapToGrid w:val="0"/>
        <w:spacing w:line="360" w:lineRule="auto"/>
        <w:ind w:left="-2" w:firstLine="422"/>
        <w:jc w:val="left"/>
        <w:rPr>
          <w:rFonts w:hint="eastAsia" w:ascii="仿宋_GB2312" w:hAnsi="仿宋_GB2312" w:eastAsia="仿宋_GB2312" w:cs="仿宋_GB2312"/>
          <w:b/>
          <w:sz w:val="24"/>
        </w:rPr>
      </w:pPr>
      <w:r>
        <w:rPr>
          <w:rFonts w:hint="eastAsia" w:ascii="仿宋_GB2312" w:hAnsi="仿宋_GB2312" w:eastAsia="仿宋_GB2312" w:cs="仿宋_GB2312"/>
          <w:b/>
          <w:sz w:val="24"/>
        </w:rPr>
        <w:t>三、服务质量和要求</w:t>
      </w:r>
    </w:p>
    <w:p>
      <w:pPr>
        <w:widowControl/>
        <w:adjustRightInd w:val="0"/>
        <w:snapToGrid w:val="0"/>
        <w:spacing w:line="360" w:lineRule="auto"/>
        <w:ind w:firstLine="488" w:firstLineChars="200"/>
        <w:rPr>
          <w:rFonts w:hint="eastAsia" w:ascii="仿宋_GB2312" w:hAnsi="仿宋_GB2312" w:eastAsia="仿宋_GB2312" w:cs="仿宋_GB2312"/>
          <w:color w:val="0000FF"/>
          <w:spacing w:val="2"/>
          <w:sz w:val="24"/>
        </w:rPr>
      </w:pPr>
      <w:r>
        <w:rPr>
          <w:rFonts w:hint="eastAsia" w:ascii="仿宋_GB2312" w:hAnsi="仿宋_GB2312" w:eastAsia="仿宋_GB2312" w:cs="仿宋_GB2312"/>
          <w:color w:val="0000FF"/>
          <w:spacing w:val="2"/>
          <w:sz w:val="24"/>
        </w:rPr>
        <w:t>★1、投标人具有有效的国家或省市场监管部门颁发</w:t>
      </w:r>
      <w:bookmarkStart w:id="33" w:name="_GoBack"/>
      <w:bookmarkEnd w:id="33"/>
      <w:r>
        <w:rPr>
          <w:rFonts w:hint="eastAsia" w:ascii="仿宋_GB2312" w:hAnsi="仿宋_GB2312" w:eastAsia="仿宋_GB2312" w:cs="仿宋_GB2312"/>
          <w:color w:val="0000FF"/>
          <w:spacing w:val="2"/>
          <w:sz w:val="24"/>
        </w:rPr>
        <w:t>的检验检测资质认定证书（CMA），投标时须提供证明资料。</w:t>
      </w:r>
    </w:p>
    <w:p>
      <w:pPr>
        <w:widowControl/>
        <w:adjustRightInd w:val="0"/>
        <w:snapToGrid w:val="0"/>
        <w:spacing w:line="360" w:lineRule="auto"/>
        <w:ind w:firstLine="488" w:firstLineChars="200"/>
        <w:rPr>
          <w:rFonts w:hint="eastAsia" w:ascii="仿宋_GB2312" w:hAnsi="仿宋_GB2312" w:eastAsia="仿宋_GB2312" w:cs="仿宋_GB2312"/>
          <w:color w:val="0000FF"/>
          <w:spacing w:val="2"/>
          <w:sz w:val="24"/>
        </w:rPr>
      </w:pPr>
      <w:r>
        <w:rPr>
          <w:rFonts w:hint="eastAsia" w:ascii="仿宋_GB2312" w:hAnsi="仿宋_GB2312" w:eastAsia="仿宋_GB2312" w:cs="仿宋_GB2312"/>
          <w:spacing w:val="2"/>
          <w:sz w:val="24"/>
        </w:rPr>
        <w:t>2、中标人必须在合同期内保持《柴油车污染物排放限值及测量方法（自由加速法及加载减速法）》（GB 3847-2018）、《汽油车污染物排放限值及测量方法（双怠速法及简易工况法）》（GB 18285-2018）监测方法以及光吸收系数、林格曼黑度等检测项目的有效资质，并应自行配置道路抽检、停放地抽检等非遥感监测项目所需的仪器设备，相关操作人员应持证上岗，在提供服务的过程中严格遵守国家相关法律法规及行业相关技术要求和规范。</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3、道路抽检、停放地抽检服务完成后，需要在采购人要求的时限内，出具有经CMA认证的、具有法定效力的监测报告。每次完成监测任务后，中标人还需要按照采购人要求的时限内，填写必要的统计工作表格和录入“天地车人”等系统APP。</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lang w:val="en-US" w:eastAsia="zh-CN"/>
        </w:rPr>
        <w:t>4</w:t>
      </w:r>
      <w:r>
        <w:rPr>
          <w:rFonts w:hint="eastAsia" w:ascii="仿宋_GB2312" w:hAnsi="仿宋_GB2312" w:eastAsia="仿宋_GB2312" w:cs="仿宋_GB2312"/>
          <w:spacing w:val="2"/>
          <w:sz w:val="24"/>
        </w:rPr>
        <w:t>、中标人负责提供监测服务过程中需要使用的标气等耗材。</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lang w:val="en-US" w:eastAsia="zh-CN"/>
        </w:rPr>
        <w:t>5</w:t>
      </w:r>
      <w:r>
        <w:rPr>
          <w:rFonts w:hint="eastAsia" w:ascii="仿宋_GB2312" w:hAnsi="仿宋_GB2312" w:eastAsia="仿宋_GB2312" w:cs="仿宋_GB2312"/>
          <w:spacing w:val="2"/>
          <w:sz w:val="24"/>
        </w:rPr>
        <w:t>、设备要求：中标人配备能满足完成监测任务的仪器设备。</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lang w:val="en-US" w:eastAsia="zh-CN"/>
        </w:rPr>
        <w:t>6</w:t>
      </w:r>
      <w:r>
        <w:rPr>
          <w:rFonts w:hint="eastAsia" w:ascii="仿宋_GB2312" w:hAnsi="仿宋_GB2312" w:eastAsia="仿宋_GB2312" w:cs="仿宋_GB2312"/>
          <w:spacing w:val="2"/>
          <w:sz w:val="24"/>
        </w:rPr>
        <w:t>、人员要求</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w:t>
      </w:r>
      <w:r>
        <w:rPr>
          <w:rFonts w:hint="eastAsia" w:ascii="仿宋_GB2312" w:hAnsi="仿宋_GB2312" w:eastAsia="仿宋_GB2312" w:cs="仿宋_GB2312"/>
          <w:spacing w:val="2"/>
          <w:sz w:val="24"/>
          <w:lang w:val="en-US" w:eastAsia="zh-CN"/>
        </w:rPr>
        <w:t>1</w:t>
      </w:r>
      <w:r>
        <w:rPr>
          <w:rFonts w:hint="eastAsia" w:ascii="仿宋_GB2312" w:hAnsi="仿宋_GB2312" w:eastAsia="仿宋_GB2312" w:cs="仿宋_GB2312"/>
          <w:spacing w:val="2"/>
          <w:sz w:val="24"/>
        </w:rPr>
        <w:t>）能按标准规范要求熟练使用“透射式烟度计”、“便携式车用尿素浓度计”、“便携式林格曼黑度检测仪”、“OBD诊断仪”。</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w:t>
      </w:r>
      <w:r>
        <w:rPr>
          <w:rFonts w:hint="eastAsia" w:ascii="仿宋_GB2312" w:hAnsi="仿宋_GB2312" w:eastAsia="仿宋_GB2312" w:cs="仿宋_GB2312"/>
          <w:spacing w:val="2"/>
          <w:sz w:val="24"/>
          <w:lang w:val="en-US" w:eastAsia="zh-CN"/>
        </w:rPr>
        <w:t>2</w:t>
      </w:r>
      <w:r>
        <w:rPr>
          <w:rFonts w:hint="eastAsia" w:ascii="仿宋_GB2312" w:hAnsi="仿宋_GB2312" w:eastAsia="仿宋_GB2312" w:cs="仿宋_GB2312"/>
          <w:spacing w:val="2"/>
          <w:sz w:val="24"/>
        </w:rPr>
        <w:t>）熟悉汽油车简易瞬态工况法、汽油车双怠速法、轻型柴油车加载减速工况法、自由加速法、重型柴油车加载减速工况法的检测技术。</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w:t>
      </w:r>
      <w:r>
        <w:rPr>
          <w:rFonts w:hint="eastAsia" w:ascii="仿宋_GB2312" w:hAnsi="仿宋_GB2312" w:eastAsia="仿宋_GB2312" w:cs="仿宋_GB2312"/>
          <w:spacing w:val="2"/>
          <w:sz w:val="24"/>
          <w:lang w:val="en-US" w:eastAsia="zh-CN"/>
        </w:rPr>
        <w:t>3</w:t>
      </w:r>
      <w:r>
        <w:rPr>
          <w:rFonts w:hint="eastAsia" w:ascii="仿宋_GB2312" w:hAnsi="仿宋_GB2312" w:eastAsia="仿宋_GB2312" w:cs="仿宋_GB2312"/>
          <w:spacing w:val="2"/>
          <w:sz w:val="24"/>
        </w:rPr>
        <w:t>）熟悉机动车检测工作流程及检测技术，有在相关企业2年以上的工作经验，必须保证做到检测方法科学、数据真实准确，对检测数据负检测技术责任。</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w:t>
      </w:r>
      <w:r>
        <w:rPr>
          <w:rFonts w:hint="eastAsia" w:ascii="仿宋_GB2312" w:hAnsi="仿宋_GB2312" w:eastAsia="仿宋_GB2312" w:cs="仿宋_GB2312"/>
          <w:spacing w:val="2"/>
          <w:sz w:val="24"/>
          <w:lang w:val="en-US" w:eastAsia="zh-CN"/>
        </w:rPr>
        <w:t>4</w:t>
      </w:r>
      <w:r>
        <w:rPr>
          <w:rFonts w:hint="eastAsia" w:ascii="仿宋_GB2312" w:hAnsi="仿宋_GB2312" w:eastAsia="仿宋_GB2312" w:cs="仿宋_GB2312"/>
          <w:spacing w:val="2"/>
          <w:sz w:val="24"/>
        </w:rPr>
        <w:t>）会检查车辆的车况是否正常是否适合进行机动车尾气排放性能检验检测，至少一人持有大车驾驶证。</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w:t>
      </w:r>
      <w:r>
        <w:rPr>
          <w:rFonts w:hint="eastAsia" w:ascii="仿宋_GB2312" w:hAnsi="仿宋_GB2312" w:eastAsia="仿宋_GB2312" w:cs="仿宋_GB2312"/>
          <w:spacing w:val="2"/>
          <w:sz w:val="24"/>
          <w:lang w:val="en-US" w:eastAsia="zh-CN"/>
        </w:rPr>
        <w:t>5</w:t>
      </w:r>
      <w:r>
        <w:rPr>
          <w:rFonts w:hint="eastAsia" w:ascii="仿宋_GB2312" w:hAnsi="仿宋_GB2312" w:eastAsia="仿宋_GB2312" w:cs="仿宋_GB2312"/>
          <w:spacing w:val="2"/>
          <w:sz w:val="24"/>
        </w:rPr>
        <w:t>）注重形象，有一定职业修养，善于与群众沟通答疑相关工作流程及政策、法规。</w:t>
      </w:r>
    </w:p>
    <w:p>
      <w:pPr>
        <w:widowControl/>
        <w:adjustRightInd w:val="0"/>
        <w:snapToGrid w:val="0"/>
        <w:spacing w:line="360" w:lineRule="auto"/>
        <w:ind w:left="-2" w:firstLine="422"/>
        <w:rPr>
          <w:rFonts w:hint="eastAsia" w:ascii="仿宋_GB2312" w:hAnsi="仿宋_GB2312" w:eastAsia="仿宋_GB2312" w:cs="仿宋_GB2312"/>
          <w:b/>
          <w:bCs/>
          <w:spacing w:val="2"/>
          <w:sz w:val="24"/>
        </w:rPr>
      </w:pPr>
      <w:r>
        <w:rPr>
          <w:rFonts w:hint="eastAsia" w:ascii="仿宋_GB2312" w:hAnsi="仿宋_GB2312" w:eastAsia="仿宋_GB2312" w:cs="仿宋_GB2312"/>
          <w:b/>
          <w:bCs/>
          <w:spacing w:val="2"/>
          <w:sz w:val="24"/>
        </w:rPr>
        <w:t>四、其他要求</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1、成果验收要求：工作成果符合国家有关法律、法规、规程、标准和规范要求，符合广州市的实际情况，并通过采购人验收和满足主管部门管理需要。</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2、安全责任要求：中标人应承担本项目的安全生产责任。中标人应按安全生产有关规定，建立安全生产制度，认真做好安全生产工作，切实消除安全隐患。在合同期内，中标人因各种原因，在项目实施过程中，造成自身及第三方的人身和财产损失，由中标人独自承担相应的法律和经济责任，与采购人无关；造成采购人经济损失的，由中标人承担，采购人保留追究其法律责任的权利。</w:t>
      </w:r>
    </w:p>
    <w:p>
      <w:pPr>
        <w:widowControl/>
        <w:adjustRightInd w:val="0"/>
        <w:snapToGrid w:val="0"/>
        <w:spacing w:line="360" w:lineRule="auto"/>
        <w:ind w:firstLine="488" w:firstLineChars="200"/>
        <w:rPr>
          <w:rFonts w:hint="eastAsia" w:ascii="仿宋_GB2312" w:hAnsi="仿宋_GB2312" w:eastAsia="仿宋_GB2312" w:cs="仿宋_GB2312"/>
          <w:spacing w:val="2"/>
          <w:sz w:val="24"/>
        </w:rPr>
      </w:pPr>
      <w:r>
        <w:rPr>
          <w:rFonts w:hint="eastAsia" w:ascii="仿宋_GB2312" w:hAnsi="仿宋_GB2312" w:eastAsia="仿宋_GB2312" w:cs="仿宋_GB2312"/>
          <w:spacing w:val="2"/>
          <w:sz w:val="24"/>
        </w:rPr>
        <w:t>3、人员培训要求：中标人须遵守采购人提出的各项规章制度和廉政纪律、保密规定和要求，按照采购人提出的工作规程和要求开展服务工作。中标人须做好参与人员的定期培训工作。</w:t>
      </w:r>
    </w:p>
    <w:p>
      <w:pPr>
        <w:widowControl/>
        <w:adjustRightInd w:val="0"/>
        <w:snapToGrid w:val="0"/>
        <w:spacing w:line="360" w:lineRule="auto"/>
        <w:ind w:left="42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五、保密要求</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中标人在履行合同过程中获得的采购人提供的数据资料、文字及图件材料，必须履行保密义务，对本项目实施过程中收集、采用、引用或接触到的所有需要保密的数据严格进行保密，未经信息披露方书面事先同意，不得向合同以外的任何第三方披露。</w:t>
      </w:r>
    </w:p>
    <w:p>
      <w:pPr>
        <w:widowControl/>
        <w:adjustRightInd w:val="0"/>
        <w:snapToGrid w:val="0"/>
        <w:spacing w:line="360" w:lineRule="auto"/>
        <w:ind w:left="420"/>
        <w:jc w:val="left"/>
        <w:rPr>
          <w:rFonts w:hint="eastAsia" w:ascii="仿宋_GB2312" w:hAnsi="仿宋_GB2312" w:eastAsia="仿宋_GB2312" w:cs="仿宋_GB2312"/>
          <w:b/>
          <w:sz w:val="24"/>
        </w:rPr>
      </w:pPr>
      <w:r>
        <w:rPr>
          <w:rFonts w:hint="eastAsia" w:ascii="仿宋_GB2312" w:hAnsi="仿宋_GB2312" w:eastAsia="仿宋_GB2312" w:cs="仿宋_GB2312"/>
          <w:b/>
          <w:sz w:val="24"/>
        </w:rPr>
        <w:t>六、报价要求</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中标人以</w:t>
      </w:r>
      <w:r>
        <w:rPr>
          <w:rFonts w:hint="eastAsia" w:ascii="仿宋_GB2312" w:hAnsi="仿宋_GB2312" w:eastAsia="仿宋_GB2312" w:cs="仿宋_GB2312"/>
          <w:sz w:val="24"/>
          <w:lang w:val="en-US" w:eastAsia="zh-CN"/>
        </w:rPr>
        <w:t>抽检单价</w:t>
      </w:r>
      <w:r>
        <w:rPr>
          <w:rFonts w:hint="eastAsia" w:ascii="仿宋_GB2312" w:hAnsi="仿宋_GB2312" w:eastAsia="仿宋_GB2312" w:cs="仿宋_GB2312"/>
          <w:sz w:val="24"/>
        </w:rPr>
        <w:t>的方式进行报价，中标人所报</w:t>
      </w:r>
      <w:r>
        <w:rPr>
          <w:rFonts w:hint="eastAsia" w:ascii="仿宋_GB2312" w:hAnsi="仿宋_GB2312" w:eastAsia="仿宋_GB2312" w:cs="仿宋_GB2312"/>
          <w:sz w:val="24"/>
          <w:lang w:val="en-US" w:eastAsia="zh-CN"/>
        </w:rPr>
        <w:t>价格</w:t>
      </w:r>
      <w:r>
        <w:rPr>
          <w:rFonts w:hint="eastAsia" w:ascii="仿宋_GB2312" w:hAnsi="仿宋_GB2312" w:eastAsia="仿宋_GB2312" w:cs="仿宋_GB2312"/>
          <w:sz w:val="24"/>
        </w:rPr>
        <w:t>应综合考虑完成本项目所发生的各项费用，包括如采样费、分析测试费、仪器设备开机费、折旧费、试剂药品费、水电费、标准物质费、易损耗品费、办公费、人工费、检测费、差旅费、交通费、税费等等及合同实施过程中不可预见等完成本采购项目内容所需的一切费用，采购人不再支付任何其它费用。</w:t>
      </w:r>
    </w:p>
    <w:p>
      <w:pPr>
        <w:widowControl/>
        <w:adjustRightInd w:val="0"/>
        <w:snapToGrid w:val="0"/>
        <w:spacing w:line="360" w:lineRule="auto"/>
        <w:ind w:left="420"/>
        <w:jc w:val="left"/>
        <w:rPr>
          <w:rFonts w:hint="eastAsia" w:ascii="仿宋_GB2312" w:hAnsi="仿宋_GB2312" w:eastAsia="仿宋_GB2312" w:cs="仿宋_GB2312"/>
          <w:b/>
          <w:sz w:val="24"/>
        </w:rPr>
      </w:pPr>
      <w:r>
        <w:rPr>
          <w:rFonts w:hint="eastAsia" w:ascii="仿宋_GB2312" w:hAnsi="仿宋_GB2312" w:eastAsia="仿宋_GB2312" w:cs="仿宋_GB2312"/>
          <w:b/>
          <w:sz w:val="24"/>
        </w:rPr>
        <w:t>七、付款方式</w:t>
      </w:r>
    </w:p>
    <w:p>
      <w:pPr>
        <w:widowControl/>
        <w:adjustRightInd w:val="0"/>
        <w:snapToGrid w:val="0"/>
        <w:spacing w:line="360" w:lineRule="auto"/>
        <w:ind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本合同签订后，费用分四期结算支付：第一期费用于2025年9月10日前结算；第二期费用于2025年12月10日前结算；第三期费用于2026年3月10日前结算；第四期费用于2025年7月10日前结算。每期结算时，乙方需提供每期已完成复检的数量清单，并据实核算费用，经甲方核实后进行支付。</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2、按合同支付款项前，中标人必须先向采购人提供与支付金额相符的有效发票，且收款方、出具发票方、合同中标人均必须与中标人名称一致。</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3、中标人凭以下有效文件由采购人按上述方式支付进度款项：</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（1）合同；</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（2）有效的增值税发票；</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（3）相关报告；</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（4）中标（成交）通知书。</w:t>
      </w:r>
    </w:p>
    <w:p>
      <w:pPr>
        <w:widowControl/>
        <w:adjustRightInd w:val="0"/>
        <w:snapToGrid w:val="0"/>
        <w:spacing w:line="360" w:lineRule="auto"/>
        <w:ind w:firstLine="480" w:firstLineChars="200"/>
        <w:jc w:val="left"/>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eastAsia="zh-CN"/>
        </w:rPr>
        <w:t>4、因甲方使用的是财政资金，前款约定的付款时间为甲方向财政部门提出办理财政支付申请手续的时间（不含政府财政支付部门审核的时间），甲方在约定时间内提出支付申请手续后即视为甲方已经按期支付，乙方不得以此为由要求甲方承担违约责任或怠于履行合同义务。</w:t>
      </w:r>
    </w:p>
    <w:p>
      <w:pPr>
        <w:widowControl/>
        <w:adjustRightInd w:val="0"/>
        <w:snapToGrid w:val="0"/>
        <w:spacing w:line="360" w:lineRule="auto"/>
        <w:ind w:firstLine="480" w:firstLineChars="200"/>
        <w:jc w:val="left"/>
        <w:rPr>
          <w:rFonts w:hint="eastAsia"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CE5B9"/>
    <w:multiLevelType w:val="singleLevel"/>
    <w:tmpl w:val="E1DCE5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A4FBF"/>
    <w:rsid w:val="4DF20622"/>
    <w:rsid w:val="4F4378BE"/>
    <w:rsid w:val="537FC07A"/>
    <w:rsid w:val="5D7E25AA"/>
    <w:rsid w:val="6CFE07A2"/>
    <w:rsid w:val="FFFB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8"/>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jc w:val="center"/>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toc 1"/>
    <w:basedOn w:val="1"/>
    <w:next w:val="1"/>
    <w:qFormat/>
    <w:uiPriority w:val="39"/>
    <w:pPr>
      <w:tabs>
        <w:tab w:val="right" w:leader="dot" w:pos="9061"/>
      </w:tabs>
      <w:spacing w:before="120" w:after="120" w:line="360" w:lineRule="auto"/>
      <w:jc w:val="center"/>
    </w:pPr>
    <w:rPr>
      <w:rFonts w:ascii="宋体" w:hAnsi="宋体"/>
      <w:b/>
      <w:bCs/>
      <w:sz w:val="32"/>
      <w:szCs w:val="32"/>
      <w:lang w:val="zh-CN"/>
    </w:rPr>
  </w:style>
  <w:style w:type="character" w:customStyle="1" w:styleId="8">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2025-06-26T02:53:00Z</dcterms:created>
  <dc:creator>89389</dc:creator>
  <cp:lastModifiedBy>梁肇峰</cp:lastModifiedBy>
  <dcterms:modified xsi:type="dcterms:W3CDTF">2025-07-08T11:41:21Z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A50C06B8E1BB4EE8B9CA079674011750</vt:lpwstr>
  </property>
</Properties>
</file>